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14" w:rsidRDefault="00807C6E" w:rsidP="00C52E02">
      <w:pPr>
        <w:jc w:val="center"/>
        <w:rPr>
          <w:b/>
          <w:szCs w:val="24"/>
        </w:rPr>
      </w:pPr>
      <w:r w:rsidRPr="00871C9C">
        <w:rPr>
          <w:b/>
          <w:szCs w:val="24"/>
        </w:rPr>
        <w:t xml:space="preserve">SZCZEGÓŁY DOTYCZĄCE ZABEZPIECZENIA UMOWY </w:t>
      </w:r>
      <w:r w:rsidR="00981814">
        <w:rPr>
          <w:b/>
          <w:szCs w:val="24"/>
        </w:rPr>
        <w:t xml:space="preserve">NA OTRZYMANIE BEZZWROTNEJ DOTACJI </w:t>
      </w:r>
      <w:r w:rsidRPr="00871C9C">
        <w:rPr>
          <w:b/>
          <w:szCs w:val="24"/>
        </w:rPr>
        <w:t>W RAMACH PROJEKTU</w:t>
      </w:r>
      <w:r w:rsidR="00C52E02" w:rsidRPr="00871C9C">
        <w:rPr>
          <w:b/>
          <w:szCs w:val="24"/>
        </w:rPr>
        <w:t xml:space="preserve"> </w:t>
      </w:r>
    </w:p>
    <w:p w:rsidR="00807C6E" w:rsidRPr="00871C9C" w:rsidRDefault="00C52E02" w:rsidP="00C52E02">
      <w:pPr>
        <w:jc w:val="center"/>
        <w:rPr>
          <w:b/>
          <w:szCs w:val="24"/>
        </w:rPr>
      </w:pPr>
      <w:r w:rsidRPr="00871C9C">
        <w:rPr>
          <w:b/>
          <w:szCs w:val="24"/>
        </w:rPr>
        <w:t>„50+ WRESZCIE NA SWOIM”</w:t>
      </w:r>
    </w:p>
    <w:p w:rsidR="00C52E02" w:rsidRPr="00871C9C" w:rsidRDefault="00C52E02" w:rsidP="00C52E02">
      <w:pPr>
        <w:jc w:val="center"/>
        <w:rPr>
          <w:szCs w:val="24"/>
        </w:rPr>
      </w:pPr>
    </w:p>
    <w:p w:rsidR="00807C6E" w:rsidRPr="00871C9C" w:rsidRDefault="00807C6E" w:rsidP="00C52E02">
      <w:pPr>
        <w:ind w:firstLine="708"/>
        <w:jc w:val="both"/>
        <w:rPr>
          <w:szCs w:val="24"/>
        </w:rPr>
      </w:pPr>
      <w:r w:rsidRPr="00871C9C">
        <w:rPr>
          <w:szCs w:val="24"/>
        </w:rPr>
        <w:t>UP zobowiązany jest do wniesienia zabezpieczenia na wypadek niedotrzymania przez UP warunków umowy w rodzaju oraz terminie określonym w Umowie</w:t>
      </w:r>
      <w:r w:rsidR="00D007FF">
        <w:rPr>
          <w:szCs w:val="24"/>
        </w:rPr>
        <w:t xml:space="preserve"> na otrzymanie</w:t>
      </w:r>
      <w:r w:rsidR="003A0E53">
        <w:rPr>
          <w:szCs w:val="24"/>
        </w:rPr>
        <w:t xml:space="preserve"> bezzwrotnej dotacji.</w:t>
      </w:r>
      <w:r w:rsidR="00F933DD" w:rsidRPr="00871C9C">
        <w:rPr>
          <w:szCs w:val="24"/>
        </w:rPr>
        <w:t xml:space="preserve"> Wybór formy </w:t>
      </w:r>
      <w:r w:rsidRPr="00871C9C">
        <w:rPr>
          <w:szCs w:val="24"/>
        </w:rPr>
        <w:t>zabezpieczenia należy do UP, który składa w tej sprawie oświadczenie przed podpisaniem umowy. Dopuszczalne formy zabezpieczenia to</w:t>
      </w:r>
      <w:r w:rsidR="003A0E53">
        <w:rPr>
          <w:szCs w:val="24"/>
        </w:rPr>
        <w:t>:</w:t>
      </w:r>
    </w:p>
    <w:p w:rsidR="00807C6E" w:rsidRPr="00871C9C" w:rsidRDefault="00C52E02" w:rsidP="003A0E53">
      <w:pPr>
        <w:ind w:firstLine="708"/>
        <w:jc w:val="both"/>
        <w:rPr>
          <w:szCs w:val="24"/>
        </w:rPr>
      </w:pPr>
      <w:r w:rsidRPr="00871C9C">
        <w:rPr>
          <w:szCs w:val="24"/>
        </w:rPr>
        <w:t xml:space="preserve">a) </w:t>
      </w:r>
      <w:r w:rsidR="00D007FF">
        <w:rPr>
          <w:szCs w:val="24"/>
        </w:rPr>
        <w:t>poręczenie cywilne</w:t>
      </w:r>
    </w:p>
    <w:p w:rsidR="00807C6E" w:rsidRPr="00871C9C" w:rsidRDefault="00C52E02" w:rsidP="003A0E53">
      <w:pPr>
        <w:ind w:firstLine="708"/>
        <w:jc w:val="both"/>
        <w:rPr>
          <w:szCs w:val="24"/>
        </w:rPr>
      </w:pPr>
      <w:r w:rsidRPr="00871C9C">
        <w:rPr>
          <w:szCs w:val="24"/>
        </w:rPr>
        <w:t xml:space="preserve">b) </w:t>
      </w:r>
      <w:r w:rsidR="00D007FF" w:rsidRPr="00871C9C">
        <w:rPr>
          <w:szCs w:val="24"/>
        </w:rPr>
        <w:t>weksel z poręczeniem wekslowym (</w:t>
      </w:r>
      <w:proofErr w:type="spellStart"/>
      <w:r w:rsidR="00D007FF" w:rsidRPr="00871C9C">
        <w:rPr>
          <w:szCs w:val="24"/>
        </w:rPr>
        <w:t>aval</w:t>
      </w:r>
      <w:proofErr w:type="spellEnd"/>
      <w:r w:rsidR="00D007FF" w:rsidRPr="00871C9C">
        <w:rPr>
          <w:szCs w:val="24"/>
        </w:rPr>
        <w:t>)</w:t>
      </w:r>
    </w:p>
    <w:p w:rsidR="00807C6E" w:rsidRPr="00871C9C" w:rsidRDefault="00C52E02" w:rsidP="003A0E53">
      <w:pPr>
        <w:ind w:firstLine="708"/>
        <w:jc w:val="both"/>
        <w:rPr>
          <w:szCs w:val="24"/>
        </w:rPr>
      </w:pPr>
      <w:r w:rsidRPr="00871C9C">
        <w:rPr>
          <w:szCs w:val="24"/>
        </w:rPr>
        <w:t xml:space="preserve">c) </w:t>
      </w:r>
      <w:r w:rsidR="00807C6E" w:rsidRPr="00871C9C">
        <w:rPr>
          <w:szCs w:val="24"/>
        </w:rPr>
        <w:t>gwarancja bankowa</w:t>
      </w:r>
    </w:p>
    <w:p w:rsidR="00807C6E" w:rsidRPr="00871C9C" w:rsidRDefault="00C52E02" w:rsidP="003A0E53">
      <w:pPr>
        <w:ind w:firstLine="708"/>
        <w:jc w:val="both"/>
        <w:rPr>
          <w:szCs w:val="24"/>
        </w:rPr>
      </w:pPr>
      <w:r w:rsidRPr="00871C9C">
        <w:rPr>
          <w:szCs w:val="24"/>
        </w:rPr>
        <w:t xml:space="preserve">d) </w:t>
      </w:r>
      <w:r w:rsidR="00807C6E" w:rsidRPr="00871C9C">
        <w:rPr>
          <w:szCs w:val="24"/>
        </w:rPr>
        <w:t>zastaw na prawach lub rzeczach</w:t>
      </w:r>
    </w:p>
    <w:p w:rsidR="00807C6E" w:rsidRDefault="00C52E02" w:rsidP="003A0E53">
      <w:pPr>
        <w:ind w:firstLine="708"/>
        <w:jc w:val="both"/>
        <w:rPr>
          <w:szCs w:val="24"/>
        </w:rPr>
      </w:pPr>
      <w:r w:rsidRPr="00871C9C">
        <w:rPr>
          <w:szCs w:val="24"/>
        </w:rPr>
        <w:t xml:space="preserve">e) </w:t>
      </w:r>
      <w:r w:rsidR="00807C6E" w:rsidRPr="00871C9C">
        <w:rPr>
          <w:szCs w:val="24"/>
        </w:rPr>
        <w:t>blokada rachunku</w:t>
      </w:r>
    </w:p>
    <w:p w:rsidR="00D007FF" w:rsidRDefault="00D007FF" w:rsidP="00D007FF">
      <w:pPr>
        <w:ind w:firstLine="708"/>
        <w:jc w:val="both"/>
        <w:rPr>
          <w:szCs w:val="24"/>
        </w:rPr>
      </w:pPr>
      <w:r>
        <w:rPr>
          <w:szCs w:val="24"/>
        </w:rPr>
        <w:t>f) hipoteka</w:t>
      </w:r>
    </w:p>
    <w:p w:rsidR="00D007FF" w:rsidRPr="00871C9C" w:rsidRDefault="00D007FF" w:rsidP="00D007FF">
      <w:pPr>
        <w:ind w:firstLine="708"/>
        <w:jc w:val="both"/>
        <w:rPr>
          <w:szCs w:val="24"/>
        </w:rPr>
      </w:pPr>
      <w:r>
        <w:rPr>
          <w:szCs w:val="24"/>
        </w:rPr>
        <w:t xml:space="preserve">g) </w:t>
      </w:r>
      <w:r w:rsidRPr="00C85384">
        <w:t>akt notarialny o poddaniu się egzekucji przez dłużnika</w:t>
      </w:r>
    </w:p>
    <w:p w:rsidR="00C52E02" w:rsidRPr="00871C9C" w:rsidRDefault="00C52E02" w:rsidP="00C52E02">
      <w:pPr>
        <w:jc w:val="both"/>
        <w:rPr>
          <w:szCs w:val="24"/>
        </w:rPr>
      </w:pPr>
    </w:p>
    <w:p w:rsidR="00F933DD" w:rsidRPr="00871C9C" w:rsidRDefault="00D007FF" w:rsidP="00F933DD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C52E02" w:rsidRPr="00871C9C">
        <w:rPr>
          <w:b/>
          <w:szCs w:val="24"/>
        </w:rPr>
        <w:t xml:space="preserve">. </w:t>
      </w:r>
      <w:r w:rsidR="00F933DD" w:rsidRPr="00871C9C">
        <w:rPr>
          <w:b/>
          <w:szCs w:val="24"/>
        </w:rPr>
        <w:t>Poręczenie cywilne</w:t>
      </w:r>
    </w:p>
    <w:p w:rsidR="00F933DD" w:rsidRPr="00871C9C" w:rsidRDefault="00F933DD" w:rsidP="00D007FF">
      <w:pPr>
        <w:pStyle w:val="Default"/>
        <w:ind w:firstLine="708"/>
        <w:jc w:val="both"/>
      </w:pPr>
      <w:r w:rsidRPr="00871C9C">
        <w:t xml:space="preserve">Umowa zawierana między </w:t>
      </w:r>
      <w:r w:rsidR="00C52E02" w:rsidRPr="00871C9C">
        <w:t>Stowarzyszeniem</w:t>
      </w:r>
      <w:r w:rsidRPr="00871C9C">
        <w:t xml:space="preserve"> a poręczycielem. Każdy poręczyciel musi spełnić poniższe warunki.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W przypadku wyboru zabezpieczenia </w:t>
      </w:r>
      <w:r w:rsidRPr="00871C9C">
        <w:rPr>
          <w:b/>
          <w:bCs/>
        </w:rPr>
        <w:t xml:space="preserve">poręczenia cywilnego, </w:t>
      </w:r>
      <w:r w:rsidRPr="00871C9C">
        <w:t xml:space="preserve">wymagane jest poręczenie co najmniej dwóch poręczycieli, z których każdy spełnia łącznie następujące wymagania: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a) osoba fizyczna w wieku do 65 lat,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b) nie ciążą na poręczycielu zobowiązania z tytułu zajęć sądowych i administracyjnych i nie toczy się w stosunku do niego postępowanie sądowe, egzekucyjne lub windykacyjne dotyczące niespłaconych zobowiązań, </w:t>
      </w:r>
    </w:p>
    <w:p w:rsidR="00871C9C" w:rsidRPr="00871C9C" w:rsidRDefault="00F933DD" w:rsidP="00F933DD">
      <w:pPr>
        <w:pStyle w:val="Default"/>
        <w:jc w:val="both"/>
      </w:pPr>
      <w:r w:rsidRPr="00871C9C">
        <w:t xml:space="preserve">c) pozostający w stosunku pracy z pracodawcą nie będącym w stanie likwidacji lub upadłości, zatrudniony na czas nieokreślony lub określony </w:t>
      </w:r>
      <w:r w:rsidR="003A0E53">
        <w:t xml:space="preserve">dłuższy niż 24 miesiące </w:t>
      </w:r>
      <w:r w:rsidRPr="00871C9C">
        <w:t xml:space="preserve">licząc od dnia złożenia wniosku, nie będący w okresie wypowiedzenia,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lub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prowadzący działalność gospodarczą przez okres minimum 6 miesięcy, która nie jest w stanie likwidacji lub upadłości,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lub 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mający przyznane prawo do emerytury lub renty na okres nie krótszy niż 2 lata począwszy od dnia złożenia Wniosku o przyznanie </w:t>
      </w:r>
      <w:r w:rsidR="00981814">
        <w:t>bezzwrotnej dotacji</w:t>
      </w:r>
    </w:p>
    <w:p w:rsidR="00F933DD" w:rsidRPr="00871C9C" w:rsidRDefault="00F933DD" w:rsidP="00F933DD">
      <w:pPr>
        <w:pStyle w:val="Default"/>
        <w:jc w:val="both"/>
      </w:pPr>
      <w:r w:rsidRPr="00871C9C">
        <w:t xml:space="preserve">d) </w:t>
      </w:r>
      <w:r w:rsidR="00C52E02" w:rsidRPr="00871C9C">
        <w:t>uzyskujący miesięcznie minimum 1 5</w:t>
      </w:r>
      <w:r w:rsidRPr="00871C9C">
        <w:t xml:space="preserve">00 zł brutto. </w:t>
      </w:r>
    </w:p>
    <w:p w:rsidR="00F933DD" w:rsidRDefault="00F933DD" w:rsidP="003A0E53">
      <w:pPr>
        <w:pStyle w:val="Default"/>
        <w:ind w:firstLine="708"/>
        <w:jc w:val="both"/>
        <w:rPr>
          <w:b/>
          <w:bCs/>
        </w:rPr>
      </w:pPr>
      <w:r w:rsidRPr="00871C9C">
        <w:rPr>
          <w:b/>
          <w:bCs/>
        </w:rPr>
        <w:t>Podpisanie umowy poręczenia musi nastąpić w siedzibie Fundacji w obecności pracownika i współmałżonka poręczyciela (o ile dotyczy).</w:t>
      </w:r>
    </w:p>
    <w:p w:rsidR="00D007FF" w:rsidRDefault="00D007FF" w:rsidP="003A0E53">
      <w:pPr>
        <w:pStyle w:val="Default"/>
        <w:ind w:firstLine="708"/>
        <w:jc w:val="both"/>
        <w:rPr>
          <w:b/>
          <w:bCs/>
        </w:rPr>
      </w:pPr>
    </w:p>
    <w:p w:rsidR="00D007FF" w:rsidRPr="00871C9C" w:rsidRDefault="00D007FF" w:rsidP="00D007FF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Pr="00871C9C">
        <w:rPr>
          <w:b/>
          <w:szCs w:val="24"/>
        </w:rPr>
        <w:t>.Poręczenie wekslowe</w:t>
      </w:r>
    </w:p>
    <w:p w:rsidR="00D007FF" w:rsidRPr="00871C9C" w:rsidRDefault="00D007FF" w:rsidP="00D007FF">
      <w:pPr>
        <w:ind w:firstLine="708"/>
        <w:jc w:val="both"/>
        <w:rPr>
          <w:szCs w:val="24"/>
        </w:rPr>
      </w:pPr>
      <w:r w:rsidRPr="00871C9C">
        <w:rPr>
          <w:szCs w:val="24"/>
        </w:rPr>
        <w:t>Podpisanie weksla,</w:t>
      </w:r>
      <w:r>
        <w:rPr>
          <w:szCs w:val="24"/>
        </w:rPr>
        <w:t xml:space="preserve"> </w:t>
      </w:r>
      <w:r w:rsidRPr="00871C9C">
        <w:rPr>
          <w:szCs w:val="24"/>
        </w:rPr>
        <w:t xml:space="preserve">przez Uczestnika projektu oraz dwóch poręczycieli zgodnie z poniższymi warunkami.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 xml:space="preserve">W przypadku wyboru zabezpieczenia w formie weksla z poręczeniem wekslowym wymagane jest poręczenie co najmniej dwóch poręczycieli, z których każdy spełnia łącznie następujące wymagania: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>a) osoba fizyczna w wieku 65 lat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lastRenderedPageBreak/>
        <w:t xml:space="preserve">b) nie ciążą na poręczycielu zobowiązania z tytułu zajęć sądowych i administracyjnych i nie toczy się w stosunku do niego postępowanie sądowe, egzekucyjne lub windykacyjne dotyczące niespłaconych zobowiązań,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 xml:space="preserve">c) pozostający w stosunku pracy z pracodawcą nie będącym w stanie upadłości, zatrudniony na czas nieokreślony lub określony </w:t>
      </w:r>
      <w:r>
        <w:rPr>
          <w:szCs w:val="24"/>
        </w:rPr>
        <w:t xml:space="preserve">dłuższy niż 24 miesiące </w:t>
      </w:r>
      <w:r w:rsidRPr="00871C9C">
        <w:rPr>
          <w:szCs w:val="24"/>
        </w:rPr>
        <w:t>licząc od dnia złożenia wniosku, nie będący w okresie wypowiedzenia</w:t>
      </w:r>
      <w:r>
        <w:rPr>
          <w:szCs w:val="24"/>
        </w:rPr>
        <w:t>,</w:t>
      </w:r>
      <w:r w:rsidRPr="00871C9C">
        <w:rPr>
          <w:szCs w:val="24"/>
        </w:rPr>
        <w:t xml:space="preserve">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>lub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>prowadzący działalność gospodarczą przez okres minimum 6 miesięcy, która nie jest w stanie likwidacji lub upadłości</w:t>
      </w:r>
      <w:r>
        <w:rPr>
          <w:szCs w:val="24"/>
        </w:rPr>
        <w:t>,</w:t>
      </w:r>
      <w:r w:rsidRPr="00871C9C">
        <w:rPr>
          <w:szCs w:val="24"/>
        </w:rPr>
        <w:t xml:space="preserve">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 xml:space="preserve">lub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 xml:space="preserve">mający przyznane prawo do emerytury lub renty na okres nie krótszy niż 2 lata począwszy od dnia złożenia wniosku o przyznanie </w:t>
      </w:r>
      <w:r w:rsidR="00981814">
        <w:rPr>
          <w:szCs w:val="24"/>
        </w:rPr>
        <w:t>bezzwrotnej dotacji</w:t>
      </w:r>
      <w:r w:rsidRPr="00871C9C">
        <w:rPr>
          <w:szCs w:val="24"/>
        </w:rPr>
        <w:t xml:space="preserve"> 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>d) uzyskujący miesięcznie minimum 1 500 zł brutto.</w:t>
      </w:r>
    </w:p>
    <w:p w:rsidR="00D007FF" w:rsidRPr="00871C9C" w:rsidRDefault="00D007FF" w:rsidP="00D007FF">
      <w:pPr>
        <w:jc w:val="both"/>
        <w:rPr>
          <w:szCs w:val="24"/>
        </w:rPr>
      </w:pPr>
    </w:p>
    <w:p w:rsidR="00D007FF" w:rsidRPr="00871C9C" w:rsidRDefault="00D007FF" w:rsidP="00D007FF">
      <w:pPr>
        <w:ind w:firstLine="708"/>
        <w:jc w:val="both"/>
        <w:rPr>
          <w:szCs w:val="24"/>
        </w:rPr>
      </w:pPr>
      <w:r w:rsidRPr="00871C9C">
        <w:rPr>
          <w:szCs w:val="24"/>
        </w:rPr>
        <w:t>Zgodnie z przepisami ustawy prawo wekslowe dla dokonania skutecznego poręczenia wekslowego niezbędne (i zarazem wystarczające) jest umieszczenie stosownej adnotacji na wekslu. Poniżej odpowiednie przepisy ustawy prawo wekslowe:</w:t>
      </w:r>
    </w:p>
    <w:p w:rsidR="00D007FF" w:rsidRPr="00871C9C" w:rsidRDefault="00D007FF" w:rsidP="00D007FF">
      <w:pPr>
        <w:jc w:val="both"/>
        <w:rPr>
          <w:szCs w:val="24"/>
        </w:rPr>
      </w:pPr>
      <w:r w:rsidRPr="00871C9C">
        <w:rPr>
          <w:szCs w:val="24"/>
        </w:rPr>
        <w:t xml:space="preserve">Art. 31. Poręczenie umieszcza się na wekslu albo na przedłużku. Poręczenie oznacza się wyrazem "poręczam" lub innym zwrotem równoznacznym; podpisuje je poręczyciel. </w:t>
      </w:r>
    </w:p>
    <w:p w:rsidR="00D007FF" w:rsidRPr="00871C9C" w:rsidRDefault="00D007FF" w:rsidP="00D007FF">
      <w:pPr>
        <w:pStyle w:val="Default"/>
        <w:jc w:val="both"/>
      </w:pPr>
      <w:r w:rsidRPr="00871C9C">
        <w:t xml:space="preserve">Sam podpis na przedniej stronie wekslu uważa się za udzielenie poręczenia, wyjąwszy gdy jest to podpis wystawcy lub trasata. </w:t>
      </w:r>
    </w:p>
    <w:p w:rsidR="00D007FF" w:rsidRPr="00871C9C" w:rsidRDefault="00D007FF" w:rsidP="00D007FF">
      <w:pPr>
        <w:pStyle w:val="Default"/>
        <w:jc w:val="both"/>
      </w:pPr>
      <w:r w:rsidRPr="00871C9C">
        <w:t xml:space="preserve">Poręczenie powinno wskazywać, za kogo je dano. W braku takiej wskazówki uważa się, że poręczenia udzielono za wystawcę. </w:t>
      </w:r>
    </w:p>
    <w:p w:rsidR="00D007FF" w:rsidRPr="00871C9C" w:rsidRDefault="00D007FF" w:rsidP="00D007FF">
      <w:pPr>
        <w:ind w:firstLine="708"/>
        <w:jc w:val="both"/>
        <w:rPr>
          <w:b/>
          <w:bCs/>
          <w:szCs w:val="24"/>
        </w:rPr>
      </w:pPr>
      <w:r w:rsidRPr="00871C9C">
        <w:rPr>
          <w:b/>
          <w:bCs/>
          <w:szCs w:val="24"/>
        </w:rPr>
        <w:t xml:space="preserve">Podpisanie weksla musi nastąpić w siedzibie Stowarzyszenia w obecności pracownika i współmałżonka poręczyciela (o ile dotyczy). </w:t>
      </w:r>
    </w:p>
    <w:p w:rsidR="00F933DD" w:rsidRPr="00871C9C" w:rsidRDefault="00F933DD" w:rsidP="00F933DD">
      <w:pPr>
        <w:pStyle w:val="Default"/>
        <w:jc w:val="both"/>
        <w:rPr>
          <w:b/>
          <w:bCs/>
        </w:rPr>
      </w:pPr>
    </w:p>
    <w:p w:rsidR="00871C9C" w:rsidRPr="00871C9C" w:rsidRDefault="00871C9C" w:rsidP="00F933DD">
      <w:pPr>
        <w:pStyle w:val="Default"/>
        <w:jc w:val="both"/>
        <w:rPr>
          <w:b/>
          <w:bCs/>
        </w:rPr>
      </w:pPr>
      <w:r w:rsidRPr="00871C9C">
        <w:rPr>
          <w:b/>
          <w:bCs/>
        </w:rPr>
        <w:t>3. Gwarancja bankowa</w:t>
      </w:r>
    </w:p>
    <w:p w:rsidR="00F933DD" w:rsidRPr="00871C9C" w:rsidRDefault="00F933DD" w:rsidP="003A0E53">
      <w:pPr>
        <w:pStyle w:val="Default"/>
        <w:ind w:firstLine="708"/>
        <w:jc w:val="both"/>
      </w:pPr>
      <w:r w:rsidRPr="00871C9C">
        <w:t>Umowa gwarancji bankowej jest pisemnym zobowiązaniem ba</w:t>
      </w:r>
      <w:r w:rsidR="00871C9C" w:rsidRPr="00871C9C">
        <w:t>nku do zapłaty na rzecz Stowarzyszenia</w:t>
      </w:r>
      <w:r w:rsidRPr="00871C9C">
        <w:t xml:space="preserve"> kwoty maksymalnej wskazanej w gwarancji (sumy gwarancyjnej), w przypadku gdy zleceniodawca gwarancji, na którego została wystawiona, nie wywiąże się ze swojego zobowiązania. </w:t>
      </w:r>
    </w:p>
    <w:p w:rsidR="00F933DD" w:rsidRPr="00871C9C" w:rsidRDefault="00F933DD" w:rsidP="003A0E53">
      <w:pPr>
        <w:pStyle w:val="Default"/>
        <w:ind w:firstLine="708"/>
        <w:jc w:val="both"/>
        <w:rPr>
          <w:b/>
          <w:bCs/>
        </w:rPr>
      </w:pPr>
      <w:r w:rsidRPr="00871C9C">
        <w:rPr>
          <w:b/>
          <w:bCs/>
        </w:rPr>
        <w:t>Gwarancja musi zostać udzielona na kwotę co najmniej równą kwocie dotacji i ewentualnych odsetek ustawowych na okres co najmniej 18 miesięcy od dnia podpisania umowy.</w:t>
      </w:r>
    </w:p>
    <w:p w:rsidR="00871C9C" w:rsidRPr="00871C9C" w:rsidRDefault="00871C9C" w:rsidP="00F933DD">
      <w:pPr>
        <w:pStyle w:val="Default"/>
        <w:jc w:val="both"/>
      </w:pPr>
    </w:p>
    <w:p w:rsidR="00871C9C" w:rsidRPr="00871C9C" w:rsidRDefault="00871C9C" w:rsidP="00871C9C">
      <w:pPr>
        <w:pStyle w:val="Default"/>
        <w:jc w:val="both"/>
        <w:rPr>
          <w:b/>
        </w:rPr>
      </w:pPr>
      <w:r w:rsidRPr="00871C9C">
        <w:rPr>
          <w:b/>
        </w:rPr>
        <w:t xml:space="preserve">4. Zastaw na prawach lub rzeczach </w:t>
      </w:r>
    </w:p>
    <w:p w:rsidR="00871C9C" w:rsidRPr="00871C9C" w:rsidRDefault="00871C9C" w:rsidP="003A0E53">
      <w:pPr>
        <w:pStyle w:val="Default"/>
        <w:ind w:firstLine="708"/>
        <w:jc w:val="both"/>
      </w:pPr>
      <w:r w:rsidRPr="00871C9C">
        <w:t xml:space="preserve">Zastaw rejestrowy to zabezpieczenie ustanawiane pomiędzy wierzycielem – </w:t>
      </w:r>
      <w:r w:rsidR="003A0E53">
        <w:t xml:space="preserve">Stowarzyszeniem Centrum Samorządności i Regionalizmu </w:t>
      </w:r>
      <w:r w:rsidRPr="00871C9C">
        <w:t xml:space="preserve">a wnioskodawcą, który jest uprawniony do rozporządzania przedmiotem zastawu. </w:t>
      </w:r>
    </w:p>
    <w:p w:rsidR="00871C9C" w:rsidRPr="00871C9C" w:rsidRDefault="00871C9C" w:rsidP="00871C9C">
      <w:pPr>
        <w:pStyle w:val="Default"/>
        <w:jc w:val="both"/>
      </w:pPr>
      <w:r w:rsidRPr="00871C9C">
        <w:t xml:space="preserve">Zastaw może być ustanowiony jedynie na rzeczach ruchomych np. samochód (oraz na niektórych prawach zbywalnych </w:t>
      </w:r>
      <w:proofErr w:type="spellStart"/>
      <w:r w:rsidRPr="00871C9C">
        <w:t>np</w:t>
      </w:r>
      <w:proofErr w:type="spellEnd"/>
      <w:r w:rsidRPr="00871C9C">
        <w:t xml:space="preserve">: akcjach, obligacjach). </w:t>
      </w:r>
    </w:p>
    <w:p w:rsidR="00871C9C" w:rsidRPr="00871C9C" w:rsidRDefault="00871C9C" w:rsidP="00871C9C">
      <w:pPr>
        <w:pStyle w:val="Default"/>
        <w:jc w:val="both"/>
      </w:pPr>
      <w:r w:rsidRPr="00871C9C">
        <w:t xml:space="preserve">Przedmiotem zastawu mogą być rzeczy lub prawa o wartości co najmniej kwoty dotacji i ewentualnych odsetek ustawowych. Wartość przedmiotu zastawu musi być potwierdzona odpowiednim dokumentem (np.: faktura zakupu, wycena rzeczoznawcy itp.). </w:t>
      </w:r>
    </w:p>
    <w:p w:rsidR="00871C9C" w:rsidRDefault="00871C9C" w:rsidP="00871C9C">
      <w:pPr>
        <w:pStyle w:val="Default"/>
        <w:jc w:val="both"/>
      </w:pPr>
    </w:p>
    <w:p w:rsidR="00981814" w:rsidRPr="00871C9C" w:rsidRDefault="00981814" w:rsidP="00871C9C">
      <w:pPr>
        <w:pStyle w:val="Default"/>
        <w:jc w:val="both"/>
      </w:pPr>
    </w:p>
    <w:p w:rsidR="00871C9C" w:rsidRPr="00871C9C" w:rsidRDefault="00871C9C" w:rsidP="003A0E53">
      <w:pPr>
        <w:pStyle w:val="Default"/>
        <w:ind w:firstLine="708"/>
        <w:jc w:val="both"/>
      </w:pPr>
      <w:r w:rsidRPr="00871C9C">
        <w:lastRenderedPageBreak/>
        <w:t>Zabezpieczenie prawidłowej realizacji Umowy musi być wniesione w wysokoś</w:t>
      </w:r>
      <w:r w:rsidR="003A0E53">
        <w:t xml:space="preserve">ci </w:t>
      </w:r>
      <w:r w:rsidRPr="00871C9C">
        <w:t xml:space="preserve">odpowiadającej całości dofinansowania przyznanego UP w umowie. </w:t>
      </w:r>
    </w:p>
    <w:p w:rsidR="00871C9C" w:rsidRDefault="00871C9C" w:rsidP="00871C9C">
      <w:pPr>
        <w:pStyle w:val="Default"/>
      </w:pPr>
      <w:r w:rsidRPr="00871C9C">
        <w:t xml:space="preserve">Ewentualne koszty ustanowienia zabezpieczenia nie mogą być pokrywane ze środków dotacji. </w:t>
      </w:r>
    </w:p>
    <w:p w:rsidR="003A0E53" w:rsidRDefault="003A0E53" w:rsidP="00871C9C">
      <w:pPr>
        <w:pStyle w:val="Default"/>
      </w:pPr>
    </w:p>
    <w:p w:rsidR="003A0E53" w:rsidRPr="00871C9C" w:rsidRDefault="003A0E53" w:rsidP="00871C9C">
      <w:pPr>
        <w:pStyle w:val="Default"/>
      </w:pPr>
    </w:p>
    <w:p w:rsidR="00871C9C" w:rsidRPr="003A0E53" w:rsidRDefault="00871C9C" w:rsidP="003A0E53">
      <w:pPr>
        <w:pStyle w:val="Default"/>
        <w:jc w:val="center"/>
        <w:rPr>
          <w:i/>
        </w:rPr>
      </w:pPr>
      <w:r w:rsidRPr="003A0E53">
        <w:rPr>
          <w:i/>
        </w:rPr>
        <w:t xml:space="preserve">INFORMACJE DOTYCZĄCE WYMOGÓW, JAKIE MUSZĄ SPEŁNIĆ </w:t>
      </w:r>
      <w:r w:rsidRPr="003A0E53">
        <w:rPr>
          <w:b/>
          <w:bCs/>
          <w:i/>
          <w:iCs/>
        </w:rPr>
        <w:t xml:space="preserve">OSOBY PORĘCZAJĄCE </w:t>
      </w:r>
      <w:r w:rsidRPr="003A0E53">
        <w:rPr>
          <w:i/>
        </w:rPr>
        <w:t>UMOWĘ:</w:t>
      </w:r>
    </w:p>
    <w:p w:rsidR="00871C9C" w:rsidRPr="0030138E" w:rsidRDefault="00871C9C" w:rsidP="00871C9C">
      <w:pPr>
        <w:pStyle w:val="Default"/>
        <w:jc w:val="both"/>
        <w:rPr>
          <w:b/>
        </w:rPr>
      </w:pPr>
      <w:r w:rsidRPr="0030138E">
        <w:rPr>
          <w:b/>
          <w:i/>
          <w:iCs/>
        </w:rPr>
        <w:t>1. Osoby zatrudnione na umow</w:t>
      </w:r>
      <w:r w:rsidRPr="0030138E">
        <w:rPr>
          <w:b/>
        </w:rPr>
        <w:t xml:space="preserve">ę </w:t>
      </w:r>
      <w:r w:rsidRPr="0030138E">
        <w:rPr>
          <w:b/>
          <w:i/>
          <w:iCs/>
        </w:rPr>
        <w:t xml:space="preserve">o pracę: </w:t>
      </w:r>
    </w:p>
    <w:p w:rsidR="00871C9C" w:rsidRPr="00871C9C" w:rsidRDefault="00871C9C" w:rsidP="00871C9C">
      <w:pPr>
        <w:pStyle w:val="Default"/>
        <w:jc w:val="both"/>
      </w:pPr>
      <w:r w:rsidRPr="00871C9C">
        <w:t xml:space="preserve">Od osób zatrudnionych, </w:t>
      </w:r>
      <w:r w:rsidR="0030138E">
        <w:t>Stowarzyszenie</w:t>
      </w:r>
      <w:r w:rsidRPr="00871C9C">
        <w:t xml:space="preserve"> wymaga następujących dokumentów: </w:t>
      </w:r>
    </w:p>
    <w:p w:rsidR="00871C9C" w:rsidRPr="00871C9C" w:rsidRDefault="00871C9C" w:rsidP="00630CEE">
      <w:pPr>
        <w:pStyle w:val="Default"/>
        <w:jc w:val="both"/>
      </w:pPr>
      <w:r w:rsidRPr="00871C9C">
        <w:t xml:space="preserve"> - Zaświadczenie od pracodawcy o dochodach oraz o okresie zatrudnienia. </w:t>
      </w:r>
    </w:p>
    <w:p w:rsidR="00871C9C" w:rsidRPr="00871C9C" w:rsidRDefault="00871C9C" w:rsidP="00630CEE">
      <w:pPr>
        <w:pStyle w:val="Default"/>
        <w:jc w:val="both"/>
      </w:pPr>
      <w:r w:rsidRPr="00871C9C">
        <w:t xml:space="preserve">- Okres obowiązywania umowy o pracę poręczyciela pozostającego w stosunku pracy z pracodawcą nie będącym w stanie likwidacji lub upadłości, nie może być krótszy niż </w:t>
      </w:r>
      <w:r w:rsidR="0030138E">
        <w:t>2</w:t>
      </w:r>
      <w:r w:rsidRPr="00871C9C">
        <w:t xml:space="preserve"> lata licząc od dnia złożenia wniosku, lub na czas nieokreślony. </w:t>
      </w:r>
    </w:p>
    <w:p w:rsidR="00871C9C" w:rsidRPr="00871C9C" w:rsidRDefault="00871C9C" w:rsidP="00630CEE">
      <w:pPr>
        <w:pStyle w:val="Default"/>
        <w:jc w:val="both"/>
      </w:pPr>
      <w:r w:rsidRPr="00871C9C">
        <w:t xml:space="preserve">- Wynagrodzenie </w:t>
      </w:r>
      <w:r w:rsidRPr="00871C9C">
        <w:rPr>
          <w:i/>
          <w:iCs/>
        </w:rPr>
        <w:t xml:space="preserve">nie może </w:t>
      </w:r>
      <w:r w:rsidRPr="00871C9C">
        <w:t xml:space="preserve">być obciążone zajęciem komorniczym </w:t>
      </w:r>
    </w:p>
    <w:p w:rsidR="00871C9C" w:rsidRPr="00871C9C" w:rsidRDefault="00871C9C" w:rsidP="00630CEE">
      <w:pPr>
        <w:pStyle w:val="Default"/>
        <w:jc w:val="both"/>
      </w:pPr>
      <w:r w:rsidRPr="00871C9C">
        <w:t xml:space="preserve">- Poręczyciel </w:t>
      </w:r>
      <w:r w:rsidRPr="00871C9C">
        <w:rPr>
          <w:i/>
          <w:iCs/>
        </w:rPr>
        <w:t xml:space="preserve">nie może </w:t>
      </w:r>
      <w:r w:rsidRPr="00871C9C">
        <w:t xml:space="preserve">być w okresie rozwiązania lub wypowiedzenia umowy o pracę, jak również zakład pracy </w:t>
      </w:r>
      <w:r w:rsidRPr="00871C9C">
        <w:rPr>
          <w:i/>
          <w:iCs/>
        </w:rPr>
        <w:t>nie mo</w:t>
      </w:r>
      <w:r w:rsidRPr="00871C9C">
        <w:t>ż</w:t>
      </w:r>
      <w:r w:rsidRPr="00871C9C">
        <w:rPr>
          <w:i/>
          <w:iCs/>
        </w:rPr>
        <w:t xml:space="preserve">e </w:t>
      </w:r>
      <w:r w:rsidRPr="00871C9C">
        <w:t xml:space="preserve">znajdować się w stanie likwidacji. Zaświadczenie o zatrudnieniu ważne jest przez okres </w:t>
      </w:r>
      <w:r w:rsidRPr="00871C9C">
        <w:rPr>
          <w:i/>
          <w:iCs/>
        </w:rPr>
        <w:t xml:space="preserve">30 dni </w:t>
      </w:r>
      <w:r w:rsidRPr="00871C9C">
        <w:t xml:space="preserve">od daty wystawienia. </w:t>
      </w:r>
    </w:p>
    <w:p w:rsidR="00871C9C" w:rsidRPr="00871C9C" w:rsidRDefault="00871C9C" w:rsidP="00871C9C">
      <w:pPr>
        <w:pStyle w:val="Default"/>
        <w:jc w:val="both"/>
      </w:pPr>
    </w:p>
    <w:p w:rsidR="00871C9C" w:rsidRPr="00871C9C" w:rsidRDefault="00871C9C" w:rsidP="00871C9C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871C9C">
        <w:rPr>
          <w:b/>
          <w:i/>
          <w:iCs/>
          <w:color w:val="000000"/>
          <w:szCs w:val="24"/>
        </w:rPr>
        <w:t>2. Osoby prowadz</w:t>
      </w:r>
      <w:r w:rsidRPr="00871C9C">
        <w:rPr>
          <w:b/>
          <w:color w:val="000000"/>
          <w:szCs w:val="24"/>
        </w:rPr>
        <w:t>ą</w:t>
      </w:r>
      <w:r w:rsidRPr="00871C9C">
        <w:rPr>
          <w:b/>
          <w:i/>
          <w:iCs/>
          <w:color w:val="000000"/>
          <w:szCs w:val="24"/>
        </w:rPr>
        <w:t>ce działalno</w:t>
      </w:r>
      <w:r w:rsidRPr="00871C9C">
        <w:rPr>
          <w:b/>
          <w:color w:val="000000"/>
          <w:szCs w:val="24"/>
        </w:rPr>
        <w:t xml:space="preserve">ść </w:t>
      </w:r>
      <w:r w:rsidRPr="00871C9C">
        <w:rPr>
          <w:b/>
          <w:i/>
          <w:iCs/>
          <w:color w:val="000000"/>
          <w:szCs w:val="24"/>
        </w:rPr>
        <w:t>gospodarcz</w:t>
      </w:r>
      <w:r w:rsidRPr="00871C9C">
        <w:rPr>
          <w:b/>
          <w:color w:val="000000"/>
          <w:szCs w:val="24"/>
        </w:rPr>
        <w:t>ą</w:t>
      </w:r>
      <w:r w:rsidRPr="00871C9C">
        <w:rPr>
          <w:b/>
          <w:i/>
          <w:iCs/>
          <w:color w:val="000000"/>
          <w:szCs w:val="24"/>
        </w:rPr>
        <w:t xml:space="preserve">: </w:t>
      </w:r>
    </w:p>
    <w:p w:rsidR="00871C9C" w:rsidRPr="00871C9C" w:rsidRDefault="00871C9C" w:rsidP="00301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1C9C">
        <w:rPr>
          <w:color w:val="000000"/>
          <w:szCs w:val="24"/>
        </w:rPr>
        <w:t xml:space="preserve">- </w:t>
      </w:r>
      <w:r w:rsidRPr="00871C9C">
        <w:rPr>
          <w:i/>
          <w:iCs/>
          <w:color w:val="000000"/>
          <w:szCs w:val="24"/>
        </w:rPr>
        <w:t xml:space="preserve">Wpis </w:t>
      </w:r>
      <w:r w:rsidRPr="00871C9C">
        <w:rPr>
          <w:color w:val="000000"/>
          <w:szCs w:val="24"/>
        </w:rPr>
        <w:t xml:space="preserve">do ewidencji działalności gospodarczej (jeżeli podmiot nie jest wpisany do CEIDG- Centralnej Ewidencji i Informacji o Działalności Gospodarczej), </w:t>
      </w:r>
    </w:p>
    <w:p w:rsidR="00871C9C" w:rsidRPr="00871C9C" w:rsidRDefault="00871C9C" w:rsidP="00301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1C9C">
        <w:rPr>
          <w:color w:val="000000"/>
          <w:szCs w:val="24"/>
        </w:rPr>
        <w:t xml:space="preserve">- zaświadczenie z Urzędu Skarbowego o osiąganych dochodach lub kopia deklaracji podatkowej o uzyskanym dochodzie za poprzedni rok kalendarzowy poświadczonej przez Urząd Skarbowy, </w:t>
      </w:r>
    </w:p>
    <w:p w:rsidR="00871C9C" w:rsidRPr="00871C9C" w:rsidRDefault="00871C9C" w:rsidP="0030138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871C9C">
        <w:rPr>
          <w:color w:val="000000"/>
          <w:szCs w:val="24"/>
        </w:rPr>
        <w:t xml:space="preserve">- </w:t>
      </w:r>
      <w:r w:rsidRPr="00871C9C">
        <w:rPr>
          <w:i/>
          <w:iCs/>
          <w:color w:val="000000"/>
          <w:szCs w:val="24"/>
        </w:rPr>
        <w:t>za</w:t>
      </w:r>
      <w:r w:rsidRPr="00871C9C">
        <w:rPr>
          <w:color w:val="000000"/>
          <w:szCs w:val="24"/>
        </w:rPr>
        <w:t>ś</w:t>
      </w:r>
      <w:r w:rsidRPr="00871C9C">
        <w:rPr>
          <w:i/>
          <w:iCs/>
          <w:color w:val="000000"/>
          <w:szCs w:val="24"/>
        </w:rPr>
        <w:t xml:space="preserve">wiadczenia </w:t>
      </w:r>
      <w:r w:rsidRPr="00871C9C">
        <w:rPr>
          <w:color w:val="000000"/>
          <w:szCs w:val="24"/>
        </w:rPr>
        <w:t xml:space="preserve">z Urzędu Skarbowego oraz ZUS-u o nie zaleganiu z płatnościami – ważne 3 m-ce od daty wystawienia. </w:t>
      </w:r>
    </w:p>
    <w:p w:rsidR="00871C9C" w:rsidRPr="00871C9C" w:rsidRDefault="00871C9C" w:rsidP="00871C9C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71C9C" w:rsidRPr="0030138E" w:rsidRDefault="00871C9C" w:rsidP="00871C9C">
      <w:pPr>
        <w:pStyle w:val="Default"/>
        <w:jc w:val="both"/>
        <w:rPr>
          <w:b/>
        </w:rPr>
      </w:pPr>
      <w:r w:rsidRPr="0030138E">
        <w:rPr>
          <w:b/>
          <w:i/>
          <w:iCs/>
        </w:rPr>
        <w:t xml:space="preserve">3. Emeryci i renciści: </w:t>
      </w:r>
    </w:p>
    <w:p w:rsidR="00871C9C" w:rsidRPr="00871C9C" w:rsidRDefault="00871C9C" w:rsidP="0030138E">
      <w:pPr>
        <w:pStyle w:val="Default"/>
        <w:jc w:val="both"/>
      </w:pPr>
      <w:r w:rsidRPr="00871C9C">
        <w:t xml:space="preserve">- decyzja o wysokości przyznanego świadczenia oraz w przypadku rencisty – o okresie na jaki świadczenie zostało przyznane tj. </w:t>
      </w:r>
      <w:r w:rsidRPr="00871C9C">
        <w:rPr>
          <w:i/>
          <w:iCs/>
        </w:rPr>
        <w:t>przynajmniej na okres 24 miesi</w:t>
      </w:r>
      <w:r w:rsidRPr="00871C9C">
        <w:t>ę</w:t>
      </w:r>
      <w:r w:rsidRPr="00871C9C">
        <w:rPr>
          <w:i/>
          <w:iCs/>
        </w:rPr>
        <w:t xml:space="preserve">cy </w:t>
      </w:r>
      <w:r w:rsidRPr="00871C9C">
        <w:t xml:space="preserve">od dnia podpisania umowy lub na czas </w:t>
      </w:r>
      <w:r w:rsidRPr="00871C9C">
        <w:rPr>
          <w:i/>
          <w:iCs/>
        </w:rPr>
        <w:t>nieokre</w:t>
      </w:r>
      <w:r w:rsidRPr="00871C9C">
        <w:t>ś</w:t>
      </w:r>
      <w:r w:rsidRPr="00871C9C">
        <w:rPr>
          <w:i/>
          <w:iCs/>
        </w:rPr>
        <w:t xml:space="preserve">lony, </w:t>
      </w:r>
    </w:p>
    <w:p w:rsidR="00871C9C" w:rsidRPr="00871C9C" w:rsidRDefault="00871C9C" w:rsidP="0030138E">
      <w:pPr>
        <w:pStyle w:val="Default"/>
        <w:jc w:val="both"/>
      </w:pPr>
      <w:r w:rsidRPr="00871C9C">
        <w:t xml:space="preserve">- </w:t>
      </w:r>
      <w:r w:rsidRPr="00871C9C">
        <w:rPr>
          <w:i/>
          <w:iCs/>
        </w:rPr>
        <w:t xml:space="preserve">ostatni </w:t>
      </w:r>
      <w:r w:rsidRPr="00871C9C">
        <w:t xml:space="preserve">odcinek wypłaty świadczenia lub potwierdzenie wpływu świadczenia na rachunek bankowy. </w:t>
      </w:r>
    </w:p>
    <w:p w:rsidR="00871C9C" w:rsidRPr="0030138E" w:rsidRDefault="00871C9C" w:rsidP="00871C9C">
      <w:pPr>
        <w:pStyle w:val="Default"/>
        <w:jc w:val="both"/>
        <w:rPr>
          <w:b/>
        </w:rPr>
      </w:pPr>
    </w:p>
    <w:p w:rsidR="00871C9C" w:rsidRPr="0030138E" w:rsidRDefault="00871C9C" w:rsidP="00871C9C">
      <w:pPr>
        <w:pStyle w:val="Default"/>
        <w:jc w:val="both"/>
        <w:rPr>
          <w:b/>
        </w:rPr>
      </w:pPr>
      <w:r w:rsidRPr="0030138E">
        <w:rPr>
          <w:b/>
          <w:i/>
          <w:iCs/>
        </w:rPr>
        <w:t>4. Osoby uzyskuj</w:t>
      </w:r>
      <w:r w:rsidRPr="0030138E">
        <w:rPr>
          <w:b/>
        </w:rPr>
        <w:t>ą</w:t>
      </w:r>
      <w:r w:rsidRPr="0030138E">
        <w:rPr>
          <w:b/>
          <w:i/>
          <w:iCs/>
        </w:rPr>
        <w:t xml:space="preserve">ce dochód z tytułu prowadzenia gospodarstwa rolnego: </w:t>
      </w:r>
    </w:p>
    <w:p w:rsidR="00871C9C" w:rsidRPr="00871C9C" w:rsidRDefault="00871C9C" w:rsidP="00AD5573">
      <w:pPr>
        <w:pStyle w:val="Default"/>
        <w:jc w:val="both"/>
      </w:pPr>
      <w:r w:rsidRPr="00871C9C">
        <w:t xml:space="preserve">- zaświadczenie z Urzędu Gminy o ilości posiadanych hektarów przeliczeniowych przypadających na jednego właściciela gospodarstwa rolnego, z ustaloną przez GUS na dzień uzyskania informacją o wysokości rocznego przychodu z jednego hektara przeliczeniowego, </w:t>
      </w:r>
    </w:p>
    <w:p w:rsidR="00871C9C" w:rsidRPr="00871C9C" w:rsidRDefault="00871C9C" w:rsidP="00AD5573">
      <w:pPr>
        <w:pStyle w:val="Default"/>
        <w:jc w:val="both"/>
      </w:pPr>
      <w:r w:rsidRPr="00871C9C">
        <w:t xml:space="preserve">- </w:t>
      </w:r>
      <w:r w:rsidRPr="00871C9C">
        <w:rPr>
          <w:i/>
          <w:iCs/>
        </w:rPr>
        <w:t>za</w:t>
      </w:r>
      <w:r w:rsidRPr="00871C9C">
        <w:t>ś</w:t>
      </w:r>
      <w:r w:rsidRPr="00871C9C">
        <w:rPr>
          <w:i/>
          <w:iCs/>
        </w:rPr>
        <w:t xml:space="preserve">wiadczenia </w:t>
      </w:r>
      <w:r w:rsidRPr="00871C9C">
        <w:t xml:space="preserve">z </w:t>
      </w:r>
      <w:proofErr w:type="spellStart"/>
      <w:r w:rsidRPr="00871C9C">
        <w:t>KRUS-u</w:t>
      </w:r>
      <w:proofErr w:type="spellEnd"/>
      <w:r w:rsidRPr="00871C9C">
        <w:t xml:space="preserve"> oraz z Urzędu Gminy o nie zaleganiu z płatnościami – ważne 3 miesiące od daty wystawienia. </w:t>
      </w:r>
    </w:p>
    <w:p w:rsidR="00871C9C" w:rsidRPr="00871C9C" w:rsidRDefault="00871C9C" w:rsidP="00871C9C">
      <w:pPr>
        <w:pStyle w:val="Default"/>
        <w:jc w:val="both"/>
      </w:pPr>
    </w:p>
    <w:p w:rsidR="00871C9C" w:rsidRPr="00871C9C" w:rsidRDefault="00871C9C" w:rsidP="00871C9C">
      <w:pPr>
        <w:pStyle w:val="Default"/>
        <w:jc w:val="both"/>
      </w:pPr>
      <w:r w:rsidRPr="00871C9C">
        <w:rPr>
          <w:b/>
          <w:bCs/>
        </w:rPr>
        <w:t xml:space="preserve">WAŻNE! </w:t>
      </w:r>
    </w:p>
    <w:p w:rsidR="0010692C" w:rsidRPr="00807C6E" w:rsidRDefault="00871C9C" w:rsidP="00D007FF">
      <w:pPr>
        <w:pStyle w:val="Default"/>
        <w:jc w:val="both"/>
      </w:pPr>
      <w:r w:rsidRPr="00871C9C">
        <w:rPr>
          <w:b/>
          <w:bCs/>
        </w:rPr>
        <w:t>Poręczyciele będą musieli dodatkowo złożyć oświadczenie, iż nie ciążą na nich zobowiązania z tytułu zajęć sądowych i administracyjnych i nie toczy się w stosunku do nich postępowanie sądowe, egzekucyjne lub windykacyjne dotyczące niespłaconych zobowiązań.</w:t>
      </w:r>
    </w:p>
    <w:sectPr w:rsidR="0010692C" w:rsidRPr="00807C6E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BA" w:rsidRDefault="009965BA">
      <w:r>
        <w:separator/>
      </w:r>
    </w:p>
  </w:endnote>
  <w:endnote w:type="continuationSeparator" w:id="0">
    <w:p w:rsidR="009965BA" w:rsidRDefault="0099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8041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C029FA" w:rsidRDefault="008041DA">
        <w:pPr>
          <w:pStyle w:val="Stopka"/>
          <w:jc w:val="right"/>
        </w:pPr>
        <w:fldSimple w:instr=" PAGE   \* MERGEFORMAT ">
          <w:r w:rsidR="00630CEE">
            <w:rPr>
              <w:noProof/>
            </w:rPr>
            <w:t>3</w:t>
          </w:r>
        </w:fldSimple>
      </w:p>
    </w:sdtContent>
  </w:sdt>
  <w:p w:rsidR="00B07FD9" w:rsidRPr="0068635C" w:rsidRDefault="00376FCD" w:rsidP="00B07FD9">
    <w:pPr>
      <w:pStyle w:val="Nagwek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   </w:t>
    </w:r>
    <w:r w:rsidR="00B07FD9">
      <w:rPr>
        <w:b w:val="0"/>
        <w:sz w:val="18"/>
        <w:szCs w:val="18"/>
      </w:rPr>
      <w:t>Projekt współfinansowany ze środków Unii Europejskiej w ramach Europejskiego Funduszu Społecznego</w:t>
    </w:r>
  </w:p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BA" w:rsidRDefault="009965BA">
      <w:r>
        <w:separator/>
      </w:r>
    </w:p>
  </w:footnote>
  <w:footnote w:type="continuationSeparator" w:id="0">
    <w:p w:rsidR="009965BA" w:rsidRDefault="0099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36BE"/>
    <w:rsid w:val="0000426D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36B2"/>
    <w:rsid w:val="0009216B"/>
    <w:rsid w:val="00094097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0692C"/>
    <w:rsid w:val="001206A9"/>
    <w:rsid w:val="0012071A"/>
    <w:rsid w:val="00126B24"/>
    <w:rsid w:val="001338BD"/>
    <w:rsid w:val="001414B0"/>
    <w:rsid w:val="00144139"/>
    <w:rsid w:val="00147F95"/>
    <w:rsid w:val="001522DF"/>
    <w:rsid w:val="00163948"/>
    <w:rsid w:val="00164E76"/>
    <w:rsid w:val="001825F8"/>
    <w:rsid w:val="0018320B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78D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138E"/>
    <w:rsid w:val="00304BF6"/>
    <w:rsid w:val="00304F06"/>
    <w:rsid w:val="0031161B"/>
    <w:rsid w:val="003132C8"/>
    <w:rsid w:val="00320CB1"/>
    <w:rsid w:val="00322ED0"/>
    <w:rsid w:val="00323801"/>
    <w:rsid w:val="0032564C"/>
    <w:rsid w:val="00335335"/>
    <w:rsid w:val="003442A6"/>
    <w:rsid w:val="0035673D"/>
    <w:rsid w:val="00360CEF"/>
    <w:rsid w:val="00367640"/>
    <w:rsid w:val="003753A3"/>
    <w:rsid w:val="00376FCD"/>
    <w:rsid w:val="00383849"/>
    <w:rsid w:val="003A0E53"/>
    <w:rsid w:val="003B5DC1"/>
    <w:rsid w:val="003C3136"/>
    <w:rsid w:val="003C3CAF"/>
    <w:rsid w:val="003C3F4A"/>
    <w:rsid w:val="003C7FE5"/>
    <w:rsid w:val="003D29CA"/>
    <w:rsid w:val="003D6D04"/>
    <w:rsid w:val="003E44A9"/>
    <w:rsid w:val="003F2233"/>
    <w:rsid w:val="004068C6"/>
    <w:rsid w:val="004122B8"/>
    <w:rsid w:val="00421BB7"/>
    <w:rsid w:val="00423E5F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81F6E"/>
    <w:rsid w:val="00483FEB"/>
    <w:rsid w:val="00486DC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97A93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0CEE"/>
    <w:rsid w:val="00633F16"/>
    <w:rsid w:val="006364DE"/>
    <w:rsid w:val="0064316D"/>
    <w:rsid w:val="00644152"/>
    <w:rsid w:val="00644E57"/>
    <w:rsid w:val="00646B99"/>
    <w:rsid w:val="006573F9"/>
    <w:rsid w:val="0066745F"/>
    <w:rsid w:val="006701E0"/>
    <w:rsid w:val="00675742"/>
    <w:rsid w:val="00675CCD"/>
    <w:rsid w:val="00676DE6"/>
    <w:rsid w:val="006775D0"/>
    <w:rsid w:val="00694366"/>
    <w:rsid w:val="00696B68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F7433"/>
    <w:rsid w:val="0080174E"/>
    <w:rsid w:val="00802833"/>
    <w:rsid w:val="0080373F"/>
    <w:rsid w:val="008041DA"/>
    <w:rsid w:val="00804945"/>
    <w:rsid w:val="00805EDF"/>
    <w:rsid w:val="00807C6E"/>
    <w:rsid w:val="00817E19"/>
    <w:rsid w:val="00820EED"/>
    <w:rsid w:val="008236F3"/>
    <w:rsid w:val="0082533D"/>
    <w:rsid w:val="00825B06"/>
    <w:rsid w:val="00840DCF"/>
    <w:rsid w:val="008459C7"/>
    <w:rsid w:val="0084622A"/>
    <w:rsid w:val="00851E8B"/>
    <w:rsid w:val="008529A4"/>
    <w:rsid w:val="00852B61"/>
    <w:rsid w:val="00853DBA"/>
    <w:rsid w:val="00855526"/>
    <w:rsid w:val="00871C9C"/>
    <w:rsid w:val="00872972"/>
    <w:rsid w:val="00873C02"/>
    <w:rsid w:val="008807FC"/>
    <w:rsid w:val="00881BCB"/>
    <w:rsid w:val="00883542"/>
    <w:rsid w:val="00884868"/>
    <w:rsid w:val="00885846"/>
    <w:rsid w:val="00885943"/>
    <w:rsid w:val="00893480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1814"/>
    <w:rsid w:val="00987FE5"/>
    <w:rsid w:val="0099029D"/>
    <w:rsid w:val="00991669"/>
    <w:rsid w:val="00995011"/>
    <w:rsid w:val="009962B5"/>
    <w:rsid w:val="009965BA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C21AF"/>
    <w:rsid w:val="00AC4569"/>
    <w:rsid w:val="00AD5573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07AD1"/>
    <w:rsid w:val="00B07FD9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2E02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16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7FF"/>
    <w:rsid w:val="00D00B93"/>
    <w:rsid w:val="00D00F34"/>
    <w:rsid w:val="00D04EBD"/>
    <w:rsid w:val="00D06236"/>
    <w:rsid w:val="00D14A37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3435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456A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3016C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3DD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7FD9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C1E9-75CA-4CA0-96A2-ADBFF596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CSiR_Toruń_XVII</cp:lastModifiedBy>
  <cp:revision>11</cp:revision>
  <cp:lastPrinted>2013-06-21T11:28:00Z</cp:lastPrinted>
  <dcterms:created xsi:type="dcterms:W3CDTF">2013-07-15T12:27:00Z</dcterms:created>
  <dcterms:modified xsi:type="dcterms:W3CDTF">2013-07-16T10:45:00Z</dcterms:modified>
</cp:coreProperties>
</file>